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D7" w:rsidRDefault="00AB0B89" w:rsidP="00D03564">
      <w:pPr>
        <w:shd w:val="clear" w:color="auto" w:fill="FFFFFF"/>
        <w:suppressAutoHyphens w:val="0"/>
        <w:autoSpaceDN/>
        <w:spacing w:after="0" w:line="255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B4DA1"/>
          <w:sz w:val="28"/>
          <w:szCs w:val="28"/>
          <w:lang w:eastAsia="sk-SK"/>
        </w:rPr>
      </w:pPr>
      <w:r w:rsidRPr="00D03564">
        <w:rPr>
          <w:rFonts w:ascii="Arial" w:eastAsia="Times New Roman" w:hAnsi="Arial" w:cs="Arial"/>
          <w:b/>
          <w:bCs/>
          <w:color w:val="0B4DA1"/>
          <w:sz w:val="28"/>
          <w:szCs w:val="28"/>
          <w:lang w:eastAsia="sk-SK"/>
        </w:rPr>
        <w:t>Ex-post CBA D1 Jánovce – Jablonov</w:t>
      </w:r>
      <w:r w:rsidR="000C5B4B" w:rsidRPr="00D03564">
        <w:rPr>
          <w:rFonts w:ascii="Arial" w:eastAsia="Times New Roman" w:hAnsi="Arial" w:cs="Arial"/>
          <w:b/>
          <w:bCs/>
          <w:color w:val="0B4DA1"/>
          <w:sz w:val="28"/>
          <w:szCs w:val="28"/>
          <w:lang w:eastAsia="sk-SK"/>
        </w:rPr>
        <w:t>, aktualizácia 2020</w:t>
      </w:r>
    </w:p>
    <w:p w:rsidR="00D03564" w:rsidRPr="00D03564" w:rsidRDefault="00D03564" w:rsidP="00D03564">
      <w:pPr>
        <w:shd w:val="clear" w:color="auto" w:fill="FFFFFF"/>
        <w:suppressAutoHyphens w:val="0"/>
        <w:autoSpaceDN/>
        <w:spacing w:after="0" w:line="255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B4DA1"/>
          <w:sz w:val="28"/>
          <w:szCs w:val="28"/>
          <w:lang w:eastAsia="sk-SK"/>
        </w:rPr>
      </w:pPr>
    </w:p>
    <w:p w:rsidR="000C5B4B" w:rsidRPr="00D03564" w:rsidRDefault="000C5B4B" w:rsidP="00D03564">
      <w:pPr>
        <w:shd w:val="clear" w:color="auto" w:fill="FFFFFF"/>
        <w:suppressAutoHyphens w:val="0"/>
        <w:autoSpaceDN/>
        <w:spacing w:after="150" w:line="240" w:lineRule="auto"/>
        <w:ind w:firstLine="708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 w:rsidRPr="00D03564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Ex-post CBA D1 Jánovce – Jablonov bola real</w:t>
      </w:r>
      <w:r w:rsidR="00DA310B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izovaná v roku 2019 a je k dispo</w:t>
      </w:r>
      <w:r w:rsidRPr="00D03564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zícii na stránke </w:t>
      </w:r>
      <w:hyperlink r:id="rId6" w:history="1">
        <w:r w:rsidRPr="009D2AD6">
          <w:rPr>
            <w:rStyle w:val="Hypertextovprepojenie"/>
            <w:rFonts w:ascii="Arial" w:eastAsia="Times New Roman" w:hAnsi="Arial" w:cs="Arial"/>
            <w:lang w:eastAsia="sk-SK"/>
          </w:rPr>
          <w:t>https://www.opii.gov.sk/metodicke-dokumenty/ex-post-cba</w:t>
        </w:r>
      </w:hyperlink>
      <w:r w:rsidRPr="009D2AD6">
        <w:rPr>
          <w:rStyle w:val="Hypertextovprepojenie"/>
        </w:rPr>
        <w:t>.</w:t>
      </w:r>
      <w:r w:rsidRPr="00D03564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Údaje ktoré vstupovali do analýzy boli z rokov 2011 – 2018.</w:t>
      </w:r>
    </w:p>
    <w:p w:rsidR="000C5B4B" w:rsidRPr="00D03564" w:rsidRDefault="000C5B4B" w:rsidP="00D03564">
      <w:pPr>
        <w:shd w:val="clear" w:color="auto" w:fill="FFFFFF"/>
        <w:suppressAutoHyphens w:val="0"/>
        <w:autoSpaceDN/>
        <w:spacing w:after="150" w:line="240" w:lineRule="auto"/>
        <w:ind w:firstLine="708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 w:rsidRPr="00D03564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MDV SR ako Riadiaci orgán pristúpilo k aktualizácii ex-post CBA a to upravením </w:t>
      </w:r>
      <w:r w:rsidR="00357F73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predchádzajúcej</w:t>
      </w:r>
      <w:r w:rsidRPr="00D03564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ex-post CBA o reálne hodnoty za rok 2019. Išlo o nasledovné </w:t>
      </w:r>
      <w:r w:rsidR="00357F73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     </w:t>
      </w:r>
      <w:r w:rsidRPr="00D03564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údaje :</w:t>
      </w:r>
    </w:p>
    <w:p w:rsidR="000C5B4B" w:rsidRPr="00D03564" w:rsidRDefault="000C5B4B" w:rsidP="00D03564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Arial" w:eastAsia="Times New Roman" w:hAnsi="Arial" w:cs="Arial"/>
          <w:i/>
          <w:color w:val="525252"/>
          <w:sz w:val="24"/>
          <w:szCs w:val="24"/>
          <w:lang w:eastAsia="sk-SK"/>
        </w:rPr>
      </w:pPr>
      <w:r w:rsidRPr="00D03564">
        <w:rPr>
          <w:rFonts w:ascii="Arial" w:eastAsia="Times New Roman" w:hAnsi="Arial" w:cs="Arial"/>
          <w:i/>
          <w:color w:val="525252"/>
          <w:sz w:val="24"/>
          <w:szCs w:val="24"/>
          <w:lang w:eastAsia="sk-SK"/>
        </w:rPr>
        <w:t>HDP – zdroj: Štatistický úrad SR</w:t>
      </w:r>
    </w:p>
    <w:p w:rsidR="000C5B4B" w:rsidRPr="00D03564" w:rsidRDefault="000C5B4B" w:rsidP="00D03564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Arial" w:eastAsia="Times New Roman" w:hAnsi="Arial" w:cs="Arial"/>
          <w:i/>
          <w:color w:val="525252"/>
          <w:sz w:val="24"/>
          <w:szCs w:val="24"/>
          <w:lang w:eastAsia="sk-SK"/>
        </w:rPr>
      </w:pPr>
      <w:r w:rsidRPr="00D03564">
        <w:rPr>
          <w:rFonts w:ascii="Arial" w:eastAsia="Times New Roman" w:hAnsi="Arial" w:cs="Arial"/>
          <w:i/>
          <w:color w:val="525252"/>
          <w:sz w:val="24"/>
          <w:szCs w:val="24"/>
          <w:lang w:eastAsia="sk-SK"/>
        </w:rPr>
        <w:t>Inflácia – zdroj :  Štatistický úrad SR</w:t>
      </w:r>
    </w:p>
    <w:p w:rsidR="000C5B4B" w:rsidRPr="00D03564" w:rsidRDefault="000C5B4B" w:rsidP="00D03564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Arial" w:eastAsia="Times New Roman" w:hAnsi="Arial" w:cs="Arial"/>
          <w:i/>
          <w:color w:val="525252"/>
          <w:sz w:val="24"/>
          <w:szCs w:val="24"/>
          <w:lang w:eastAsia="sk-SK"/>
        </w:rPr>
      </w:pPr>
      <w:r w:rsidRPr="00D03564">
        <w:rPr>
          <w:rFonts w:ascii="Arial" w:eastAsia="Times New Roman" w:hAnsi="Arial" w:cs="Arial"/>
          <w:i/>
          <w:color w:val="525252"/>
          <w:sz w:val="24"/>
          <w:szCs w:val="24"/>
          <w:lang w:eastAsia="sk-SK"/>
        </w:rPr>
        <w:t>Ceny pohonných hmôt – zdroj :  Štatistický úrad SR</w:t>
      </w:r>
    </w:p>
    <w:p w:rsidR="000C5B4B" w:rsidRPr="00D03564" w:rsidRDefault="000C5B4B" w:rsidP="00D03564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Arial" w:eastAsia="Times New Roman" w:hAnsi="Arial" w:cs="Arial"/>
          <w:i/>
          <w:color w:val="525252"/>
          <w:sz w:val="24"/>
          <w:szCs w:val="24"/>
          <w:lang w:eastAsia="sk-SK"/>
        </w:rPr>
      </w:pPr>
      <w:r w:rsidRPr="00D03564">
        <w:rPr>
          <w:rFonts w:ascii="Arial" w:eastAsia="Times New Roman" w:hAnsi="Arial" w:cs="Arial"/>
          <w:i/>
          <w:color w:val="525252"/>
          <w:sz w:val="24"/>
          <w:szCs w:val="24"/>
          <w:lang w:eastAsia="sk-SK"/>
        </w:rPr>
        <w:t>Intenzita dopravy – zdroj : automatické sčítače dopravy NDS, a.s. </w:t>
      </w:r>
    </w:p>
    <w:p w:rsidR="000C5B4B" w:rsidRPr="00D03564" w:rsidRDefault="000C5B4B" w:rsidP="00D03564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Arial" w:eastAsia="Times New Roman" w:hAnsi="Arial" w:cs="Arial"/>
          <w:i/>
          <w:color w:val="525252"/>
          <w:sz w:val="24"/>
          <w:szCs w:val="24"/>
          <w:lang w:eastAsia="sk-SK"/>
        </w:rPr>
      </w:pPr>
      <w:r w:rsidRPr="00D03564">
        <w:rPr>
          <w:rFonts w:ascii="Arial" w:eastAsia="Times New Roman" w:hAnsi="Arial" w:cs="Arial"/>
          <w:i/>
          <w:color w:val="525252"/>
          <w:sz w:val="24"/>
          <w:szCs w:val="24"/>
          <w:lang w:eastAsia="sk-SK"/>
        </w:rPr>
        <w:t>Prevádzkové náklady – zdroj : účtovníctvo NDS, a.s.</w:t>
      </w:r>
    </w:p>
    <w:p w:rsidR="000C5B4B" w:rsidRPr="00D03564" w:rsidRDefault="000C5B4B" w:rsidP="00D03564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Arial" w:eastAsia="Times New Roman" w:hAnsi="Arial" w:cs="Arial"/>
          <w:i/>
          <w:color w:val="525252"/>
          <w:sz w:val="24"/>
          <w:szCs w:val="24"/>
          <w:lang w:eastAsia="sk-SK"/>
        </w:rPr>
      </w:pPr>
      <w:r w:rsidRPr="00D03564">
        <w:rPr>
          <w:rFonts w:ascii="Arial" w:eastAsia="Times New Roman" w:hAnsi="Arial" w:cs="Arial"/>
          <w:i/>
          <w:color w:val="525252"/>
          <w:sz w:val="24"/>
          <w:szCs w:val="24"/>
          <w:lang w:eastAsia="sk-SK"/>
        </w:rPr>
        <w:t>Príjmy – zdroj : účtovníctvo, NDS a.s.</w:t>
      </w:r>
    </w:p>
    <w:p w:rsidR="000C5B4B" w:rsidRPr="00D03564" w:rsidRDefault="000C5B4B" w:rsidP="00D03564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Arial" w:eastAsia="Times New Roman" w:hAnsi="Arial" w:cs="Arial"/>
          <w:i/>
          <w:color w:val="525252"/>
          <w:sz w:val="24"/>
          <w:szCs w:val="24"/>
          <w:lang w:eastAsia="sk-SK"/>
        </w:rPr>
      </w:pPr>
      <w:r w:rsidRPr="00D03564">
        <w:rPr>
          <w:rFonts w:ascii="Arial" w:eastAsia="Times New Roman" w:hAnsi="Arial" w:cs="Arial"/>
          <w:i/>
          <w:color w:val="525252"/>
          <w:sz w:val="24"/>
          <w:szCs w:val="24"/>
          <w:lang w:eastAsia="sk-SK"/>
        </w:rPr>
        <w:t>Nehodovosť – zdroj : Policajný zbor SR</w:t>
      </w:r>
    </w:p>
    <w:p w:rsidR="000C5B4B" w:rsidRDefault="000C5B4B" w:rsidP="000C5B4B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</w:p>
    <w:p w:rsidR="000C5B4B" w:rsidRPr="00D03564" w:rsidRDefault="000C5B4B" w:rsidP="00D03564">
      <w:pPr>
        <w:shd w:val="clear" w:color="auto" w:fill="FFFFFF"/>
        <w:suppressAutoHyphens w:val="0"/>
        <w:autoSpaceDN/>
        <w:spacing w:after="150" w:line="240" w:lineRule="auto"/>
        <w:ind w:firstLine="708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 w:rsidRPr="00D03564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Následne bola prepočítaná CBA celého projektu spolu s predikciou vývoja do roku 2040 a to metodikou Operačného programu Doprava (2007 – 2013), podľa ktorého bola tiež vypracovaná pôvodná CBA.</w:t>
      </w:r>
    </w:p>
    <w:p w:rsidR="000C5B4B" w:rsidRPr="00D03564" w:rsidRDefault="000C5B4B" w:rsidP="00D03564">
      <w:pPr>
        <w:shd w:val="clear" w:color="auto" w:fill="FFFFFF"/>
        <w:suppressAutoHyphens w:val="0"/>
        <w:autoSpaceDN/>
        <w:spacing w:after="150" w:line="240" w:lineRule="auto"/>
        <w:ind w:firstLine="708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 w:rsidRPr="00D03564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Vyhodnotenie finančnej a ekonomic</w:t>
      </w:r>
      <w:r w:rsidR="00B4283C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kej analýzy, ktoré sa nachádza</w:t>
      </w:r>
      <w:r w:rsidRPr="00D03564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nižšie je formou porovnania aktuálnej ex-post CBA analýzy s predchádzajúcou t.j.</w:t>
      </w:r>
      <w:r w:rsidR="0059461F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s ex-post CBA realizovanou v</w:t>
      </w:r>
      <w:r w:rsidRPr="00D03564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 roku 2019.</w:t>
      </w:r>
    </w:p>
    <w:p w:rsidR="00BD3632" w:rsidRDefault="00BD363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25252"/>
          <w:sz w:val="24"/>
          <w:szCs w:val="24"/>
          <w:lang w:eastAsia="sk-SK"/>
        </w:rPr>
      </w:pPr>
    </w:p>
    <w:p w:rsidR="00E05E53" w:rsidRDefault="00E05E5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25252"/>
          <w:sz w:val="24"/>
          <w:szCs w:val="24"/>
          <w:lang w:eastAsia="sk-SK"/>
        </w:rPr>
      </w:pPr>
    </w:p>
    <w:p w:rsidR="005B7DD7" w:rsidRPr="006778A9" w:rsidRDefault="00AB0B89" w:rsidP="00D03564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color w:val="525252"/>
          <w:sz w:val="28"/>
          <w:szCs w:val="28"/>
          <w:lang w:eastAsia="sk-SK"/>
        </w:rPr>
      </w:pPr>
      <w:r w:rsidRPr="006778A9">
        <w:rPr>
          <w:rFonts w:ascii="Arial" w:eastAsia="Times New Roman" w:hAnsi="Arial" w:cs="Arial"/>
          <w:b/>
          <w:bCs/>
          <w:color w:val="525252"/>
          <w:sz w:val="28"/>
          <w:szCs w:val="28"/>
          <w:lang w:eastAsia="sk-SK"/>
        </w:rPr>
        <w:t>Vyhodnotenie finančnej analýzy</w:t>
      </w:r>
    </w:p>
    <w:p w:rsidR="009829C3" w:rsidRDefault="009829C3" w:rsidP="00BD3632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</w:p>
    <w:p w:rsidR="009829C3" w:rsidRPr="00D03564" w:rsidRDefault="00AB0B89" w:rsidP="00D03564">
      <w:pPr>
        <w:shd w:val="clear" w:color="auto" w:fill="FFFFFF"/>
        <w:suppressAutoHyphens w:val="0"/>
        <w:autoSpaceDN/>
        <w:spacing w:before="120" w:after="120" w:line="240" w:lineRule="auto"/>
        <w:ind w:firstLine="708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 w:rsidRPr="00D03564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Finančná medzera </w:t>
      </w:r>
      <w:bookmarkStart w:id="0" w:name="_Hlk14695055"/>
      <w:r w:rsidR="009829C3" w:rsidRPr="00D03564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nezmenila, potvrdila sa jej výška </w:t>
      </w:r>
      <w:r w:rsidRPr="00505AD3">
        <w:rPr>
          <w:rFonts w:ascii="Arial" w:eastAsia="Times New Roman" w:hAnsi="Arial" w:cs="Arial"/>
          <w:b/>
          <w:color w:val="525252"/>
          <w:sz w:val="24"/>
          <w:szCs w:val="24"/>
          <w:lang w:eastAsia="sk-SK"/>
        </w:rPr>
        <w:t>100%</w:t>
      </w:r>
      <w:bookmarkEnd w:id="0"/>
      <w:r w:rsidRPr="00D03564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. </w:t>
      </w:r>
    </w:p>
    <w:p w:rsidR="005B7DD7" w:rsidRPr="00D03564" w:rsidRDefault="00AB0B89" w:rsidP="009E606E">
      <w:pPr>
        <w:shd w:val="clear" w:color="auto" w:fill="FFFFFF"/>
        <w:suppressAutoHyphens w:val="0"/>
        <w:autoSpaceDN/>
        <w:spacing w:before="120" w:after="120" w:line="240" w:lineRule="auto"/>
        <w:ind w:firstLine="708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 w:rsidRPr="00D03564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Finančné vyjadrenie ukazovateľov nižšie je kumulatívne za </w:t>
      </w:r>
      <w:r w:rsidR="0059461F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celé </w:t>
      </w:r>
      <w:r w:rsidR="004A3F10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referenčné o</w:t>
      </w:r>
      <w:r w:rsidR="009E606E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b</w:t>
      </w:r>
      <w:r w:rsidRPr="00D03564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dobie 30 rokov a sumy sú uvedené bez diskontácie finančnou diskontnou sadzbou.</w:t>
      </w:r>
    </w:p>
    <w:tbl>
      <w:tblPr>
        <w:tblW w:w="90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2828"/>
        <w:gridCol w:w="2835"/>
        <w:gridCol w:w="1287"/>
      </w:tblGrid>
      <w:tr w:rsidR="005B7DD7">
        <w:trPr>
          <w:trHeight w:val="562"/>
        </w:trPr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564" w:rsidRDefault="00AB0B89" w:rsidP="00D035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bookmarkStart w:id="1" w:name="_Hlk14695119"/>
            <w:r w:rsidRPr="00D03564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Investičné </w:t>
            </w:r>
          </w:p>
          <w:p w:rsidR="005B7DD7" w:rsidRPr="00D03564" w:rsidRDefault="00AB0B89" w:rsidP="00D035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D03564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náklady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Pr="00D03564" w:rsidRDefault="0059461F" w:rsidP="00D035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  <w:t>predchádzajúca CBA</w:t>
            </w:r>
          </w:p>
          <w:p w:rsidR="005B7DD7" w:rsidRPr="00D03564" w:rsidRDefault="000D67A8" w:rsidP="00D035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D03564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287 515 642 EUR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FB" w:rsidRPr="00D03564" w:rsidRDefault="0059461F" w:rsidP="00050FF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  <w:t>po aktualizácii</w:t>
            </w:r>
          </w:p>
          <w:p w:rsidR="005B7DD7" w:rsidRPr="00D03564" w:rsidRDefault="00AB0B89" w:rsidP="00D035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D03564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287 515 642 EUR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Pr="00D03564" w:rsidRDefault="00CA067D" w:rsidP="00D035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D03564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0</w:t>
            </w:r>
            <w:r w:rsidR="00AB0B89" w:rsidRPr="00D03564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%</w:t>
            </w:r>
          </w:p>
        </w:tc>
      </w:tr>
    </w:tbl>
    <w:bookmarkEnd w:id="1"/>
    <w:p w:rsidR="009829C3" w:rsidRPr="00050FFB" w:rsidRDefault="00AB0B89" w:rsidP="00050FFB">
      <w:pPr>
        <w:shd w:val="clear" w:color="auto" w:fill="FFFFFF"/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 w:rsidRPr="00050FFB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Uvádzané investičné náklady sú s DPH. </w:t>
      </w:r>
      <w:r w:rsidR="009829C3" w:rsidRPr="00050FFB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Na výšku investičných nákladov nemala aktualizácia vplyv.</w:t>
      </w:r>
    </w:p>
    <w:p w:rsidR="005B7DD7" w:rsidRDefault="005B7DD7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9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9"/>
        <w:gridCol w:w="2891"/>
        <w:gridCol w:w="2835"/>
        <w:gridCol w:w="1245"/>
      </w:tblGrid>
      <w:tr w:rsidR="005B7DD7">
        <w:tc>
          <w:tcPr>
            <w:tcW w:w="2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FB" w:rsidRDefault="00AB0B89" w:rsidP="00050FF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bookmarkStart w:id="2" w:name="_Hlk14695165"/>
            <w:r w:rsidRPr="00050FFB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Zostatková </w:t>
            </w:r>
          </w:p>
          <w:p w:rsidR="005B7DD7" w:rsidRPr="00050FFB" w:rsidRDefault="00AB0B89" w:rsidP="00050FF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050FFB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hodnota</w:t>
            </w:r>
          </w:p>
        </w:tc>
        <w:tc>
          <w:tcPr>
            <w:tcW w:w="2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F10" w:rsidRPr="00D03564" w:rsidRDefault="004A3F10" w:rsidP="004A3F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  <w:t>predchádzajúca CBA</w:t>
            </w:r>
          </w:p>
          <w:p w:rsidR="005B7DD7" w:rsidRPr="00050FFB" w:rsidRDefault="000D67A8" w:rsidP="00050FF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050FFB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151 875 080 EUR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F10" w:rsidRPr="00D03564" w:rsidRDefault="004A3F10" w:rsidP="004A3F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  <w:t>po aktualizácii</w:t>
            </w:r>
          </w:p>
          <w:p w:rsidR="005B7DD7" w:rsidRPr="00050FFB" w:rsidRDefault="00AB0B89" w:rsidP="00050FF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050FFB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151 875 080 EUR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Pr="00050FFB" w:rsidRDefault="00CA067D" w:rsidP="00050FF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050FFB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0</w:t>
            </w:r>
            <w:r w:rsidR="00AB0B89" w:rsidRPr="00050FFB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%</w:t>
            </w:r>
          </w:p>
        </w:tc>
      </w:tr>
    </w:tbl>
    <w:bookmarkEnd w:id="2"/>
    <w:p w:rsidR="009829C3" w:rsidRPr="00953EBE" w:rsidRDefault="00AB0B89" w:rsidP="00953EBE">
      <w:pPr>
        <w:shd w:val="clear" w:color="auto" w:fill="FFFFFF"/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 w:rsidRPr="00953EBE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Zostatková hodnota bola prepočítaná metódou „život</w:t>
      </w:r>
      <w:r w:rsidR="009829C3" w:rsidRPr="00953EBE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nosti infraštruktúrnych prvkov“ a taktiež na výšku zostatkovej hodnoty nemala aktualizácia vplyv.</w:t>
      </w:r>
    </w:p>
    <w:p w:rsidR="005B7DD7" w:rsidRDefault="00AB0B89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 xml:space="preserve"> </w:t>
      </w:r>
    </w:p>
    <w:p w:rsidR="009E606E" w:rsidRDefault="009E606E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9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2853"/>
        <w:gridCol w:w="2835"/>
        <w:gridCol w:w="1245"/>
      </w:tblGrid>
      <w:tr w:rsidR="005B7DD7"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Pr="00953EBE" w:rsidRDefault="00AB0B89" w:rsidP="00953EB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bookmarkStart w:id="3" w:name="_Hlk14695271"/>
            <w:r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lastRenderedPageBreak/>
              <w:t>Príjmy</w:t>
            </w:r>
          </w:p>
        </w:tc>
        <w:tc>
          <w:tcPr>
            <w:tcW w:w="2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F10" w:rsidRPr="00D03564" w:rsidRDefault="004A3F10" w:rsidP="004A3F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  <w:t>predchádzajúca CBA</w:t>
            </w:r>
          </w:p>
          <w:p w:rsidR="005B7DD7" w:rsidRPr="00953EBE" w:rsidRDefault="000D67A8" w:rsidP="00953EB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54 297 473 EUR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F10" w:rsidRPr="00D03564" w:rsidRDefault="004A3F10" w:rsidP="004A3F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  <w:t>po aktualizácii</w:t>
            </w:r>
          </w:p>
          <w:p w:rsidR="005B7DD7" w:rsidRPr="00953EBE" w:rsidRDefault="00AB0B89" w:rsidP="00D13C6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5</w:t>
            </w:r>
            <w:r w:rsidR="00D13C62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5</w:t>
            </w:r>
            <w:r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 </w:t>
            </w:r>
            <w:r w:rsidR="00D13C62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361</w:t>
            </w:r>
            <w:r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 </w:t>
            </w:r>
            <w:r w:rsidR="00CA067D"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2</w:t>
            </w:r>
            <w:r w:rsidR="00D13C62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84</w:t>
            </w:r>
            <w:r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Pr="00953EBE" w:rsidRDefault="00CA067D" w:rsidP="00D13C6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+</w:t>
            </w:r>
            <w:r w:rsidR="00AB0B89"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 </w:t>
            </w:r>
            <w:r w:rsidR="00D13C62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2</w:t>
            </w:r>
            <w:r w:rsidR="00AB0B89"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,</w:t>
            </w:r>
            <w:r w:rsidR="00D13C62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0</w:t>
            </w:r>
            <w:r w:rsidR="00AB0B89"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%</w:t>
            </w:r>
          </w:p>
        </w:tc>
      </w:tr>
    </w:tbl>
    <w:bookmarkEnd w:id="3"/>
    <w:p w:rsidR="009829C3" w:rsidRPr="00953EBE" w:rsidRDefault="009829C3" w:rsidP="00953EBE">
      <w:pPr>
        <w:shd w:val="clear" w:color="auto" w:fill="FFFFFF"/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 w:rsidRPr="00953EBE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Príjmy z mýta sa na predmetnom úseku zvýšili z 1 795 563 EUR (rok 2018) na                                              1 874 917 EUR (rok 2019), čo sa prejavilo z dlhodobého hľadiska o niečo pozitívnejšou predpoveďou do roku 2040, avšak stále ostáva v platnosti fakt, že projekt si nedokáže sám zarobiť na prevádzku.</w:t>
      </w:r>
    </w:p>
    <w:p w:rsidR="005B7DD7" w:rsidRDefault="005B7DD7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9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2942"/>
        <w:gridCol w:w="2835"/>
        <w:gridCol w:w="1245"/>
      </w:tblGrid>
      <w:tr w:rsidR="005B7DD7"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Pr="00953EBE" w:rsidRDefault="00AB0B89" w:rsidP="00953EB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bookmarkStart w:id="4" w:name="_Hlk14695949"/>
            <w:r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Výdavky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F10" w:rsidRPr="00D03564" w:rsidRDefault="004A3F10" w:rsidP="004A3F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  <w:t>predchádzajúca CBA</w:t>
            </w:r>
          </w:p>
          <w:p w:rsidR="005B7DD7" w:rsidRPr="00953EBE" w:rsidRDefault="00AB0B89" w:rsidP="00953EB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 </w:t>
            </w:r>
            <w:r w:rsidR="000D67A8"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78 247 659 EUR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F10" w:rsidRPr="00D03564" w:rsidRDefault="004A3F10" w:rsidP="004A3F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  <w:t>po aktualizácii</w:t>
            </w:r>
          </w:p>
          <w:p w:rsidR="005B7DD7" w:rsidRPr="00953EBE" w:rsidRDefault="00E11495" w:rsidP="00D13C6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81</w:t>
            </w:r>
            <w:r w:rsidR="00AB0B89"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 </w:t>
            </w:r>
            <w:r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2</w:t>
            </w:r>
            <w:r w:rsidR="00D13C62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02</w:t>
            </w:r>
            <w:r w:rsidR="00AB0B89"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 </w:t>
            </w:r>
            <w:r w:rsidR="00D13C62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839</w:t>
            </w:r>
            <w:r w:rsidR="00AB0B89"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Pr="00953EBE" w:rsidRDefault="00AB0B89" w:rsidP="00953EB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+ </w:t>
            </w:r>
            <w:r w:rsidR="00E11495"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3</w:t>
            </w:r>
            <w:r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,</w:t>
            </w:r>
            <w:r w:rsidR="00E11495"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8</w:t>
            </w:r>
            <w:r w:rsidRPr="00953EBE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%</w:t>
            </w:r>
          </w:p>
        </w:tc>
      </w:tr>
    </w:tbl>
    <w:bookmarkEnd w:id="4"/>
    <w:p w:rsidR="005B7DD7" w:rsidRPr="00953EBE" w:rsidRDefault="00AB0B89" w:rsidP="00953EBE">
      <w:pPr>
        <w:shd w:val="clear" w:color="auto" w:fill="FFFFFF"/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 w:rsidRPr="00953EBE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Výdavky projektu sa skladajú z nákladov na prevádzku a údržbu infraštruktúry a z nákladov na prevádzku mýta. </w:t>
      </w:r>
      <w:r w:rsidR="009829C3" w:rsidRPr="00953EBE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Ako aj pri príjmoch tak aj pri nákladoch bol zaznamenaný nárast z 1 724 000 EUR (rok 2018) na 2 130 030 EUR (rok 2019). Nárast výdavkov bolo potrebné premietnuť aj do odhadu výdavkov na ďalšie roky.</w:t>
      </w:r>
      <w:r w:rsidRPr="00953EBE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  </w:t>
      </w:r>
    </w:p>
    <w:p w:rsidR="005B7DD7" w:rsidRDefault="005B7DD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25252"/>
          <w:sz w:val="24"/>
          <w:szCs w:val="24"/>
          <w:lang w:eastAsia="sk-SK"/>
        </w:rPr>
      </w:pPr>
    </w:p>
    <w:p w:rsidR="00712873" w:rsidRDefault="007128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25252"/>
          <w:sz w:val="24"/>
          <w:szCs w:val="24"/>
          <w:lang w:eastAsia="sk-SK"/>
        </w:rPr>
      </w:pPr>
    </w:p>
    <w:p w:rsidR="005B7DD7" w:rsidRDefault="00AB0B89" w:rsidP="006778A9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color w:val="525252"/>
          <w:sz w:val="28"/>
          <w:szCs w:val="28"/>
          <w:lang w:eastAsia="sk-SK"/>
        </w:rPr>
      </w:pPr>
      <w:r w:rsidRPr="006778A9">
        <w:rPr>
          <w:rFonts w:ascii="Arial" w:eastAsia="Times New Roman" w:hAnsi="Arial" w:cs="Arial"/>
          <w:b/>
          <w:bCs/>
          <w:color w:val="525252"/>
          <w:sz w:val="28"/>
          <w:szCs w:val="28"/>
          <w:lang w:eastAsia="sk-SK"/>
        </w:rPr>
        <w:t>Vyhodnotenie ekonomickej analýzy</w:t>
      </w:r>
    </w:p>
    <w:p w:rsidR="006778A9" w:rsidRPr="006778A9" w:rsidRDefault="006778A9" w:rsidP="006778A9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color w:val="525252"/>
          <w:sz w:val="28"/>
          <w:szCs w:val="28"/>
          <w:lang w:eastAsia="sk-SK"/>
        </w:rPr>
      </w:pPr>
    </w:p>
    <w:p w:rsidR="00784D7D" w:rsidRPr="006778A9" w:rsidRDefault="00AB0B89" w:rsidP="006778A9">
      <w:pPr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 w:rsidRPr="006778A9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Pomer nákladov a prínosov (B/C) sa z</w:t>
      </w:r>
      <w:r w:rsidR="00784D7D" w:rsidRPr="006778A9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nížil </w:t>
      </w:r>
      <w:r w:rsidRPr="006778A9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z </w:t>
      </w:r>
      <w:bookmarkStart w:id="5" w:name="_Hlk14696150"/>
      <w:r w:rsidR="00E11495" w:rsidRPr="008223B1">
        <w:rPr>
          <w:rFonts w:ascii="Arial" w:eastAsia="Times New Roman" w:hAnsi="Arial" w:cs="Arial"/>
          <w:b/>
          <w:color w:val="525252"/>
          <w:sz w:val="24"/>
          <w:szCs w:val="24"/>
          <w:lang w:eastAsia="sk-SK"/>
        </w:rPr>
        <w:t>5</w:t>
      </w:r>
      <w:r w:rsidRPr="008223B1">
        <w:rPr>
          <w:rFonts w:ascii="Arial" w:eastAsia="Times New Roman" w:hAnsi="Arial" w:cs="Arial"/>
          <w:b/>
          <w:color w:val="525252"/>
          <w:sz w:val="24"/>
          <w:szCs w:val="24"/>
          <w:lang w:eastAsia="sk-SK"/>
        </w:rPr>
        <w:t>,02</w:t>
      </w:r>
      <w:r w:rsidRPr="006778A9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na </w:t>
      </w:r>
      <w:bookmarkEnd w:id="5"/>
      <w:r w:rsidR="00E11495" w:rsidRPr="008223B1">
        <w:rPr>
          <w:rFonts w:ascii="Arial" w:eastAsia="Times New Roman" w:hAnsi="Arial" w:cs="Arial"/>
          <w:b/>
          <w:color w:val="525252"/>
          <w:sz w:val="24"/>
          <w:szCs w:val="24"/>
          <w:lang w:eastAsia="sk-SK"/>
        </w:rPr>
        <w:t>4</w:t>
      </w:r>
      <w:r w:rsidRPr="008223B1">
        <w:rPr>
          <w:rFonts w:ascii="Arial" w:eastAsia="Times New Roman" w:hAnsi="Arial" w:cs="Arial"/>
          <w:b/>
          <w:color w:val="525252"/>
          <w:sz w:val="24"/>
          <w:szCs w:val="24"/>
          <w:lang w:eastAsia="sk-SK"/>
        </w:rPr>
        <w:t>,</w:t>
      </w:r>
      <w:bookmarkStart w:id="6" w:name="_Hlk14696258"/>
      <w:r w:rsidR="008223B1">
        <w:rPr>
          <w:rFonts w:ascii="Arial" w:eastAsia="Times New Roman" w:hAnsi="Arial" w:cs="Arial"/>
          <w:b/>
          <w:color w:val="525252"/>
          <w:sz w:val="24"/>
          <w:szCs w:val="24"/>
          <w:lang w:eastAsia="sk-SK"/>
        </w:rPr>
        <w:t>47</w:t>
      </w:r>
      <w:r w:rsidR="00784D7D" w:rsidRPr="006778A9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keď sa znížili všetky sledované ukazovatele nižšie</w:t>
      </w:r>
      <w:r w:rsidRPr="006778A9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.</w:t>
      </w:r>
      <w:r w:rsidR="00784D7D" w:rsidRPr="006778A9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</w:t>
      </w:r>
      <w:r w:rsidR="006975C6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ERR (ekonomická vnútorná miera návratnosti) sa taktiež znížila z </w:t>
      </w:r>
      <w:r w:rsidR="001C0F77">
        <w:rPr>
          <w:rFonts w:ascii="Arial" w:eastAsia="Times New Roman" w:hAnsi="Arial" w:cs="Arial"/>
          <w:b/>
          <w:color w:val="525252"/>
          <w:sz w:val="24"/>
          <w:szCs w:val="24"/>
          <w:lang w:eastAsia="sk-SK"/>
        </w:rPr>
        <w:t>26,3</w:t>
      </w:r>
      <w:r w:rsidR="00A21B52">
        <w:rPr>
          <w:rFonts w:ascii="Arial" w:eastAsia="Times New Roman" w:hAnsi="Arial" w:cs="Arial"/>
          <w:b/>
          <w:color w:val="525252"/>
          <w:sz w:val="24"/>
          <w:szCs w:val="24"/>
          <w:lang w:eastAsia="sk-SK"/>
        </w:rPr>
        <w:t>%</w:t>
      </w:r>
      <w:r w:rsidR="001C0F77">
        <w:rPr>
          <w:rFonts w:ascii="Arial" w:eastAsia="Times New Roman" w:hAnsi="Arial" w:cs="Arial"/>
          <w:b/>
          <w:color w:val="525252"/>
          <w:sz w:val="24"/>
          <w:szCs w:val="24"/>
          <w:lang w:eastAsia="sk-SK"/>
        </w:rPr>
        <w:t xml:space="preserve"> </w:t>
      </w:r>
      <w:r w:rsidR="001C0F77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na </w:t>
      </w:r>
      <w:r w:rsidR="006975C6" w:rsidRPr="006975C6">
        <w:rPr>
          <w:rFonts w:ascii="Arial" w:eastAsia="Times New Roman" w:hAnsi="Arial" w:cs="Arial"/>
          <w:b/>
          <w:color w:val="525252"/>
          <w:sz w:val="24"/>
          <w:szCs w:val="24"/>
          <w:lang w:eastAsia="sk-SK"/>
        </w:rPr>
        <w:t>24,7</w:t>
      </w:r>
      <w:r w:rsidR="00A21B52">
        <w:rPr>
          <w:rFonts w:ascii="Arial" w:eastAsia="Times New Roman" w:hAnsi="Arial" w:cs="Arial"/>
          <w:b/>
          <w:color w:val="525252"/>
          <w:sz w:val="24"/>
          <w:szCs w:val="24"/>
          <w:lang w:eastAsia="sk-SK"/>
        </w:rPr>
        <w:t>%</w:t>
      </w:r>
      <w:r w:rsidR="007A71CD">
        <w:rPr>
          <w:rFonts w:ascii="Arial" w:eastAsia="Times New Roman" w:hAnsi="Arial" w:cs="Arial"/>
          <w:b/>
          <w:color w:val="525252"/>
          <w:sz w:val="24"/>
          <w:szCs w:val="24"/>
          <w:lang w:eastAsia="sk-SK"/>
        </w:rPr>
        <w:t xml:space="preserve"> </w:t>
      </w:r>
      <w:r w:rsidR="007A71CD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avšak ostáva stále niekoľkonásobne vyššia ako ekonomická diskontná sadzba. </w:t>
      </w:r>
      <w:r w:rsidR="001C0F77">
        <w:rPr>
          <w:rFonts w:ascii="Arial" w:eastAsia="Times New Roman" w:hAnsi="Arial" w:cs="Arial"/>
          <w:b/>
          <w:color w:val="525252"/>
          <w:sz w:val="24"/>
          <w:szCs w:val="24"/>
          <w:lang w:eastAsia="sk-SK"/>
        </w:rPr>
        <w:t xml:space="preserve"> </w:t>
      </w:r>
    </w:p>
    <w:p w:rsidR="005B7DD7" w:rsidRPr="006778A9" w:rsidRDefault="00784D7D" w:rsidP="006778A9">
      <w:pPr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 w:rsidRPr="006778A9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U</w:t>
      </w:r>
      <w:r w:rsidR="00AB0B89" w:rsidRPr="006778A9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vedené údaje z úspor nižšie sú diskontované ekonomickou diskontnou sadzbou 5,5%.</w:t>
      </w:r>
    </w:p>
    <w:p w:rsidR="005B7DD7" w:rsidRDefault="005B7DD7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9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2678"/>
        <w:gridCol w:w="1261"/>
      </w:tblGrid>
      <w:tr w:rsidR="005B7DD7">
        <w:tc>
          <w:tcPr>
            <w:tcW w:w="2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8A9" w:rsidRDefault="00AB0B89" w:rsidP="006778A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Úspora času </w:t>
            </w:r>
          </w:p>
          <w:p w:rsidR="005B7DD7" w:rsidRPr="006778A9" w:rsidRDefault="00AB0B89" w:rsidP="006778A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cestujúcich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F10" w:rsidRPr="00D03564" w:rsidRDefault="004A3F10" w:rsidP="004A3F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  <w:t>predchádzajúca CBA</w:t>
            </w:r>
          </w:p>
          <w:p w:rsidR="005B7DD7" w:rsidRPr="006778A9" w:rsidRDefault="000D67A8" w:rsidP="006778A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852 614 527 EUR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F10" w:rsidRPr="00D03564" w:rsidRDefault="004A3F10" w:rsidP="004A3F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  <w:t>po aktualizácii</w:t>
            </w:r>
          </w:p>
          <w:p w:rsidR="005B7DD7" w:rsidRPr="006778A9" w:rsidRDefault="00E11495" w:rsidP="00952A6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7</w:t>
            </w:r>
            <w:r w:rsidR="00952A61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95</w:t>
            </w:r>
            <w:r w:rsidR="00AB0B89"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 </w:t>
            </w:r>
            <w:r w:rsidR="00952A61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097</w:t>
            </w:r>
            <w:r w:rsidR="00AB0B89"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 </w:t>
            </w:r>
            <w:r w:rsidR="00952A61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590</w:t>
            </w:r>
            <w:r w:rsidR="00AB0B89"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Pr="006778A9" w:rsidRDefault="00E11495" w:rsidP="00A450F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-</w:t>
            </w:r>
            <w:r w:rsidR="00AB0B89"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 </w:t>
            </w:r>
            <w:r w:rsidR="00A450F5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6</w:t>
            </w:r>
            <w:r w:rsidR="00AB0B89"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,</w:t>
            </w:r>
            <w:r w:rsidR="00A450F5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7</w:t>
            </w:r>
            <w:r w:rsidR="00AB0B89"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%</w:t>
            </w:r>
          </w:p>
        </w:tc>
      </w:tr>
    </w:tbl>
    <w:p w:rsidR="005B7DD7" w:rsidRPr="008223B1" w:rsidRDefault="00020ECF" w:rsidP="008223B1">
      <w:pPr>
        <w:shd w:val="clear" w:color="auto" w:fill="FFFFFF"/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525252"/>
          <w:sz w:val="24"/>
          <w:szCs w:val="24"/>
          <w:lang w:eastAsia="sk-SK"/>
        </w:rPr>
        <w:t>Reálne intenzity osobnej a nákladnej dopravy na predmetnom úseku  v roku 2019 boli vyššie ako v roku 2018. Avšak pri zapracovaní do  dopravného</w:t>
      </w:r>
      <w:r w:rsidR="00AB0B89" w:rsidRPr="008223B1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model</w:t>
      </w:r>
      <w:r>
        <w:rPr>
          <w:rFonts w:ascii="Arial" w:eastAsia="Times New Roman" w:hAnsi="Arial" w:cs="Arial"/>
          <w:color w:val="525252"/>
          <w:sz w:val="24"/>
          <w:szCs w:val="24"/>
          <w:lang w:eastAsia="sk-SK"/>
        </w:rPr>
        <w:t>u, ktorý zahŕňa</w:t>
      </w:r>
      <w:r w:rsidR="00AB0B89" w:rsidRPr="008223B1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priľahlú cestnú sieť celkovo v dĺžke 108,26km</w:t>
      </w:r>
      <w:r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prichádza k zníženiu úspor času cestujúcich a to na základe interakcie</w:t>
      </w:r>
      <w:r w:rsidR="00AB0B89" w:rsidRPr="008223B1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medzi </w:t>
      </w:r>
      <w:r>
        <w:rPr>
          <w:rFonts w:ascii="Arial" w:eastAsia="Times New Roman" w:hAnsi="Arial" w:cs="Arial"/>
          <w:color w:val="525252"/>
          <w:sz w:val="24"/>
          <w:szCs w:val="24"/>
          <w:lang w:eastAsia="sk-SK"/>
        </w:rPr>
        <w:t>1</w:t>
      </w:r>
      <w:r w:rsidR="00AB0B89" w:rsidRPr="008223B1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9timi úsekmi modelovaného územia</w:t>
      </w:r>
      <w:r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. </w:t>
      </w:r>
      <w:r w:rsidR="00AB0B89" w:rsidRPr="008223B1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525252"/>
          <w:sz w:val="24"/>
          <w:szCs w:val="24"/>
          <w:lang w:eastAsia="sk-SK"/>
        </w:rPr>
        <w:t>Uvedené je spôsobené najmä vyššie nameranými intenzitami dopravy</w:t>
      </w:r>
      <w:r w:rsidR="00AB0B89" w:rsidRPr="008223B1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na paralelných a priľahlých </w:t>
      </w:r>
      <w:r>
        <w:rPr>
          <w:rFonts w:ascii="Arial" w:eastAsia="Times New Roman" w:hAnsi="Arial" w:cs="Arial"/>
          <w:color w:val="525252"/>
          <w:sz w:val="24"/>
          <w:szCs w:val="24"/>
          <w:lang w:eastAsia="sk-SK"/>
        </w:rPr>
        <w:t>cestách I. triedy.</w:t>
      </w:r>
    </w:p>
    <w:p w:rsidR="005B7DD7" w:rsidRDefault="005B7DD7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9072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443"/>
        <w:gridCol w:w="2660"/>
        <w:gridCol w:w="1275"/>
      </w:tblGrid>
      <w:tr w:rsidR="005B7DD7" w:rsidTr="00ED6314"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Pr="006778A9" w:rsidRDefault="00AB0B89" w:rsidP="006778A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Úspora prevádzkových nákladov vozidiel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F10" w:rsidRPr="00D03564" w:rsidRDefault="004A3F10" w:rsidP="004A3F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  <w:t>predchádzajúca CBA</w:t>
            </w:r>
          </w:p>
          <w:p w:rsidR="005B7DD7" w:rsidRPr="006778A9" w:rsidRDefault="000D67A8" w:rsidP="006778A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170 579 995 EUR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F10" w:rsidRPr="00D03564" w:rsidRDefault="004A3F10" w:rsidP="004A3F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  <w:t>po aktualizácii</w:t>
            </w:r>
          </w:p>
          <w:p w:rsidR="005B7DD7" w:rsidRPr="006778A9" w:rsidRDefault="00AB0B89" w:rsidP="00952A6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1</w:t>
            </w:r>
            <w:r w:rsidR="00952A61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22</w:t>
            </w: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 </w:t>
            </w:r>
            <w:r w:rsidR="00952A61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176</w:t>
            </w: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 </w:t>
            </w:r>
            <w:r w:rsidR="00952A61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615</w:t>
            </w: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Pr="006778A9" w:rsidRDefault="00AB0B89" w:rsidP="00A450F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- </w:t>
            </w:r>
            <w:r w:rsidR="00A450F5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28</w:t>
            </w: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,</w:t>
            </w:r>
            <w:r w:rsidR="00A450F5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4</w:t>
            </w: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%</w:t>
            </w:r>
          </w:p>
        </w:tc>
      </w:tr>
    </w:tbl>
    <w:p w:rsidR="005B7DD7" w:rsidRPr="008223B1" w:rsidRDefault="00AB0B89" w:rsidP="008223B1">
      <w:pPr>
        <w:shd w:val="clear" w:color="auto" w:fill="FFFFFF"/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 w:rsidRPr="008223B1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Prevádzkové náklady vozidiel sú zložené zo spotreby pohonných hmôt a  ostatných prevádzkových nákladov vozidiel (ako napr. opotrebenie vozidiel), k</w:t>
      </w:r>
      <w:r w:rsidR="00020ECF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de prichádza k zníženiu  úspory. Ako aj pri úsporách času cestujúcich, tak aj pri úsporách prevádzkových nákladov vozidiel je dôvodom zníženia interakcia</w:t>
      </w:r>
      <w:r w:rsidRPr="008223B1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reálne nameraných intenzít na modelovanej cestnej sieti, kde kľúčové ukazovatele boli dĺžky (v metroch) posudzovaných úsekov a rýchlosti vozidiel na daných úsekoch, z čoho bola vypočítaná priemerná spotreba pohonných hmôt. </w:t>
      </w:r>
    </w:p>
    <w:p w:rsidR="005B7DD7" w:rsidRDefault="005B7DD7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9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1"/>
        <w:gridCol w:w="2595"/>
        <w:gridCol w:w="2673"/>
        <w:gridCol w:w="1261"/>
      </w:tblGrid>
      <w:tr w:rsidR="005B7DD7">
        <w:tc>
          <w:tcPr>
            <w:tcW w:w="2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Pr="006778A9" w:rsidRDefault="00AB0B89" w:rsidP="006778A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bookmarkStart w:id="7" w:name="_GoBack"/>
            <w:bookmarkEnd w:id="7"/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lastRenderedPageBreak/>
              <w:t>Úspora z nehodovosti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F10" w:rsidRPr="00D03564" w:rsidRDefault="004A3F10" w:rsidP="004A3F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  <w:t>predchádzajúca CBA</w:t>
            </w:r>
          </w:p>
          <w:p w:rsidR="005B7DD7" w:rsidRPr="006778A9" w:rsidRDefault="000D67A8" w:rsidP="006778A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44 404 276 EUR</w:t>
            </w:r>
          </w:p>
        </w:tc>
        <w:tc>
          <w:tcPr>
            <w:tcW w:w="2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F10" w:rsidRPr="00D03564" w:rsidRDefault="004A3F10" w:rsidP="004A3F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525252"/>
                <w:sz w:val="24"/>
                <w:szCs w:val="24"/>
                <w:lang w:eastAsia="sk-SK"/>
              </w:rPr>
              <w:t>po aktualizácii</w:t>
            </w:r>
          </w:p>
          <w:p w:rsidR="005B7DD7" w:rsidRPr="006778A9" w:rsidRDefault="009D0562" w:rsidP="006778A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38</w:t>
            </w:r>
            <w:r w:rsidR="00AB0B89"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 </w:t>
            </w: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201</w:t>
            </w:r>
            <w:r w:rsidR="00AB0B89"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 </w:t>
            </w: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455</w:t>
            </w:r>
            <w:r w:rsidR="00AB0B89"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Pr="006778A9" w:rsidRDefault="009D0562" w:rsidP="006778A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</w:pP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-</w:t>
            </w:r>
            <w:r w:rsidR="00AB0B89"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 xml:space="preserve"> </w:t>
            </w: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14</w:t>
            </w:r>
            <w:r w:rsidR="00AB0B89"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,</w:t>
            </w:r>
            <w:r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0</w:t>
            </w:r>
            <w:r w:rsidR="00AB0B89" w:rsidRPr="006778A9">
              <w:rPr>
                <w:rFonts w:ascii="Arial" w:eastAsia="Times New Roman" w:hAnsi="Arial" w:cs="Arial"/>
                <w:b/>
                <w:bCs/>
                <w:color w:val="525252"/>
                <w:sz w:val="24"/>
                <w:szCs w:val="24"/>
                <w:lang w:eastAsia="sk-SK"/>
              </w:rPr>
              <w:t>%</w:t>
            </w:r>
          </w:p>
        </w:tc>
      </w:tr>
    </w:tbl>
    <w:p w:rsidR="005B7DD7" w:rsidRDefault="00AB0B89" w:rsidP="009D2AD6">
      <w:pPr>
        <w:shd w:val="clear" w:color="auto" w:fill="FFFFFF"/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 w:rsidRPr="008223B1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Nehodovosť bola vypočítaná na základe počtu nehôd za roky 2016 – 201</w:t>
      </w:r>
      <w:r w:rsidR="004851C7" w:rsidRPr="008223B1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9</w:t>
      </w:r>
      <w:r w:rsidRPr="008223B1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,</w:t>
      </w:r>
      <w:r w:rsidR="004851C7" w:rsidRPr="008223B1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keď d</w:t>
      </w:r>
      <w:r w:rsidRPr="008223B1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o analýzy nehodovosti vstupoval nielen samotný úsek ale aj celá priľahlá sieť ciest prvej a druhej triedy.</w:t>
      </w:r>
      <w:r w:rsidR="004851C7" w:rsidRPr="008223B1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Na zníženie úspor z nehodovosti mal najväčší vplyv vyšší počet smrteľných nehôd v roku 2019 v rámci analyz</w:t>
      </w:r>
      <w:r w:rsidR="00770856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ovanej cestnej sieti </w:t>
      </w:r>
      <w:bookmarkEnd w:id="6"/>
      <w:r w:rsidR="00051287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napriek tomu, že na predmetnom úseku bola zaznamenaná iba jedna smrteľná nehoda. </w:t>
      </w:r>
    </w:p>
    <w:p w:rsidR="007A71CD" w:rsidRDefault="007A71CD" w:rsidP="009D2AD6">
      <w:pPr>
        <w:shd w:val="clear" w:color="auto" w:fill="FFFFFF"/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</w:p>
    <w:p w:rsidR="007A71CD" w:rsidRDefault="007A71CD" w:rsidP="007A71CD">
      <w:pPr>
        <w:shd w:val="clear" w:color="auto" w:fill="FFFFFF"/>
        <w:suppressAutoHyphens w:val="0"/>
        <w:autoSpaceDN/>
        <w:spacing w:before="120" w:after="120" w:line="240" w:lineRule="auto"/>
        <w:jc w:val="center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525252"/>
          <w:sz w:val="28"/>
          <w:szCs w:val="28"/>
          <w:lang w:eastAsia="sk-SK"/>
        </w:rPr>
        <w:t>Záverečné hodnotenie</w:t>
      </w:r>
    </w:p>
    <w:p w:rsidR="007A71CD" w:rsidRDefault="007A71CD" w:rsidP="009D2AD6">
      <w:pPr>
        <w:shd w:val="clear" w:color="auto" w:fill="FFFFFF"/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</w:p>
    <w:p w:rsidR="00BC08F5" w:rsidRPr="00BC08F5" w:rsidRDefault="00BC08F5" w:rsidP="00BC08F5">
      <w:pPr>
        <w:shd w:val="clear" w:color="auto" w:fill="FFFFFF"/>
        <w:suppressAutoHyphens w:val="0"/>
        <w:autoSpaceDN/>
        <w:spacing w:before="120" w:after="120" w:line="240" w:lineRule="auto"/>
        <w:ind w:firstLine="708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 w:rsidRPr="00BC08F5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Finančná analýza potvrdila predpoklad, že projekt nedokáže v plnom rozsahu pokryť výdavky zo svojich príjmov, </w:t>
      </w:r>
      <w:r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čím sa preukázala </w:t>
      </w:r>
      <w:r w:rsidRPr="00BC08F5"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opodstatnenosť financovania projektu z fondov Európskej Únie. </w:t>
      </w:r>
    </w:p>
    <w:p w:rsidR="007A71CD" w:rsidRPr="007A71CD" w:rsidRDefault="00BC08F5" w:rsidP="00BC08F5">
      <w:pPr>
        <w:shd w:val="clear" w:color="auto" w:fill="FFFFFF"/>
        <w:suppressAutoHyphens w:val="0"/>
        <w:autoSpaceDN/>
        <w:spacing w:before="120" w:after="120" w:line="240" w:lineRule="auto"/>
        <w:ind w:firstLine="708"/>
        <w:jc w:val="both"/>
        <w:textAlignment w:val="auto"/>
        <w:rPr>
          <w:rFonts w:ascii="Arial" w:eastAsia="Times New Roman" w:hAnsi="Arial" w:cs="Arial"/>
          <w:color w:val="525252"/>
          <w:sz w:val="24"/>
          <w:szCs w:val="24"/>
          <w:lang w:eastAsia="sk-SK"/>
        </w:rPr>
      </w:pPr>
      <w:r w:rsidRPr="00BC08F5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Ekonomická analýza potvrdila efektívnosť vynakladania verejných zdrojov, nakoľko prínosy projektu pre spoločnosť prevažujú pred jeho nákladmi.</w:t>
      </w:r>
      <w:r>
        <w:rPr>
          <w:rFonts w:ascii="Arial" w:eastAsia="Times New Roman" w:hAnsi="Arial" w:cs="Arial"/>
          <w:color w:val="525252"/>
          <w:sz w:val="24"/>
          <w:szCs w:val="24"/>
          <w:lang w:eastAsia="sk-SK"/>
        </w:rPr>
        <w:t xml:space="preserve"> Platí záver, že p</w:t>
      </w:r>
      <w:r w:rsidRPr="00BC08F5">
        <w:rPr>
          <w:rFonts w:ascii="Arial" w:eastAsia="Times New Roman" w:hAnsi="Arial" w:cs="Arial"/>
          <w:color w:val="525252"/>
          <w:sz w:val="24"/>
          <w:szCs w:val="24"/>
          <w:lang w:eastAsia="sk-SK"/>
        </w:rPr>
        <w:t>rojekt opodstatňuje vynaložené náklady prostredníctvom benefitov, ktoré spoločnosti prináša</w:t>
      </w:r>
      <w:r>
        <w:rPr>
          <w:rFonts w:ascii="Arial" w:eastAsia="Times New Roman" w:hAnsi="Arial" w:cs="Arial"/>
          <w:color w:val="525252"/>
          <w:sz w:val="24"/>
          <w:szCs w:val="24"/>
          <w:lang w:eastAsia="sk-SK"/>
        </w:rPr>
        <w:t>.</w:t>
      </w:r>
    </w:p>
    <w:sectPr w:rsidR="007A71CD" w:rsidRPr="007A71C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D1" w:rsidRDefault="006E10D1">
      <w:pPr>
        <w:spacing w:after="0" w:line="240" w:lineRule="auto"/>
      </w:pPr>
      <w:r>
        <w:separator/>
      </w:r>
    </w:p>
  </w:endnote>
  <w:endnote w:type="continuationSeparator" w:id="0">
    <w:p w:rsidR="006E10D1" w:rsidRDefault="006E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D1" w:rsidRDefault="006E10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10D1" w:rsidRDefault="006E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D7"/>
    <w:rsid w:val="00020ECF"/>
    <w:rsid w:val="00034783"/>
    <w:rsid w:val="00050FFB"/>
    <w:rsid w:val="00051287"/>
    <w:rsid w:val="000C5B4B"/>
    <w:rsid w:val="000D67A8"/>
    <w:rsid w:val="001C0F77"/>
    <w:rsid w:val="002849EC"/>
    <w:rsid w:val="002D1A1C"/>
    <w:rsid w:val="00357F73"/>
    <w:rsid w:val="003A7A01"/>
    <w:rsid w:val="003E2304"/>
    <w:rsid w:val="004851C7"/>
    <w:rsid w:val="004A3F10"/>
    <w:rsid w:val="00505AD3"/>
    <w:rsid w:val="00505DDB"/>
    <w:rsid w:val="00554996"/>
    <w:rsid w:val="0059461F"/>
    <w:rsid w:val="005B7DD7"/>
    <w:rsid w:val="00632E56"/>
    <w:rsid w:val="006778A9"/>
    <w:rsid w:val="006975C6"/>
    <w:rsid w:val="006E10D1"/>
    <w:rsid w:val="00712873"/>
    <w:rsid w:val="00726DD2"/>
    <w:rsid w:val="00770856"/>
    <w:rsid w:val="00784D7D"/>
    <w:rsid w:val="007A71CD"/>
    <w:rsid w:val="007E7AC5"/>
    <w:rsid w:val="008223B1"/>
    <w:rsid w:val="00872A06"/>
    <w:rsid w:val="008E2CBC"/>
    <w:rsid w:val="009118C1"/>
    <w:rsid w:val="00952A61"/>
    <w:rsid w:val="00953EBE"/>
    <w:rsid w:val="009829C3"/>
    <w:rsid w:val="009A2365"/>
    <w:rsid w:val="009D0562"/>
    <w:rsid w:val="009D2AD6"/>
    <w:rsid w:val="009E606E"/>
    <w:rsid w:val="00A21B52"/>
    <w:rsid w:val="00A450F5"/>
    <w:rsid w:val="00A8191C"/>
    <w:rsid w:val="00AB0B89"/>
    <w:rsid w:val="00B4283C"/>
    <w:rsid w:val="00BC08F5"/>
    <w:rsid w:val="00BD3632"/>
    <w:rsid w:val="00CA067D"/>
    <w:rsid w:val="00CD3970"/>
    <w:rsid w:val="00D03564"/>
    <w:rsid w:val="00D13C62"/>
    <w:rsid w:val="00D14A76"/>
    <w:rsid w:val="00DA310B"/>
    <w:rsid w:val="00E05E53"/>
    <w:rsid w:val="00E11495"/>
    <w:rsid w:val="00E23C6A"/>
    <w:rsid w:val="00EA682A"/>
    <w:rsid w:val="00E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629E2-0776-48B7-8066-CFC4F50E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0C5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ii.gov.sk/metodicke-dokumenty/ex-post-c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Vajdiak, Peter</dc:creator>
  <cp:lastModifiedBy>Peter Vajdiak</cp:lastModifiedBy>
  <cp:revision>34</cp:revision>
  <dcterms:created xsi:type="dcterms:W3CDTF">2020-03-22T13:58:00Z</dcterms:created>
  <dcterms:modified xsi:type="dcterms:W3CDTF">2020-04-02T10:54:00Z</dcterms:modified>
</cp:coreProperties>
</file>